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2023年度吉林动画学院本科专业及方向设置一览表</w:t>
      </w:r>
    </w:p>
    <w:tbl>
      <w:tblPr>
        <w:tblStyle w:val="2"/>
        <w:tblW w:w="11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55"/>
        <w:gridCol w:w="655"/>
        <w:gridCol w:w="911"/>
        <w:gridCol w:w="852"/>
        <w:gridCol w:w="1541"/>
        <w:gridCol w:w="1686"/>
        <w:gridCol w:w="1025"/>
        <w:gridCol w:w="2471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产业群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集群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177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学院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门类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专业类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专业名称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培养方向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获批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游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游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动画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130310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二维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动画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三维动画、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新媒体动画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动画产业学院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动画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130310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Arial Unicode MS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影视动画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 Unicode MS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漫画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美术学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漫画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130410T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Arial Unicode MS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新媒体漫画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 Unicode MS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游戏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数字媒体艺术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130508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游戏策划、游戏美术、游戏衍生品设计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工学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计算机类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新媒体技术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080912T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计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计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产品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艺术与科技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130509T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Arial Unicode MS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视觉传达设计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130502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 Unicode MS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2001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2013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环境设计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130503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2013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产品设计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130504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工艺美术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130507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包装设计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130512T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Arial Unicode MS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设计学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pacing w:val="-11"/>
                <w:szCs w:val="21"/>
                <w:highlight w:val="none"/>
              </w:rPr>
              <w:t>服装与服饰设计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130505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视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视                                                                     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广播电视编导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130305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美术学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摄影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130404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  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新闻传播学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网络与新媒体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050306T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Arial Unicode MS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1"/>
                <w:szCs w:val="21"/>
                <w:highlight w:val="none"/>
              </w:rPr>
              <w:t>播音与主持艺术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130309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eastAsia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全媒体节目主持、影视配音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戏剧影视文学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130304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影视剧作、影视制片管理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表演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130301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戏剧影视导演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130306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影视导演、影视剪辑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1"/>
                <w:szCs w:val="21"/>
                <w:highlight w:val="none"/>
              </w:rPr>
              <w:t>影视摄影与制作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130311T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录音艺术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130308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pacing w:val="-23"/>
                <w:szCs w:val="21"/>
                <w:highlight w:val="none"/>
              </w:rPr>
              <w:t>戏剧影视美术设计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130307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影视美术设计、人物造型设计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电影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技术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动画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130310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数字特效、物理特效、虚拟特效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动画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130310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H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影视特效（中外合作办学）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文商管理与品牌营销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文商管理与品牌营销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文化产业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商学院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  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新闻传播学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广告学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050303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管理学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工商管理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市场营销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120202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管理学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工商管理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文化产业管理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120210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Arial Unicode MS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经济学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金融学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互联网金融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020309T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虚拟现实与人工智能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虚拟现实与人工智能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虚拟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计算机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软件工程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080902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计算机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数字媒体技术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080906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Arial Unicode MS"/>
                <w:strike/>
                <w:dstrike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工学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计算机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虚拟现实技术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080916T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Arial Unicode MS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 Unicode MS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民用航空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民用航空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民航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航空航天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  <w:highlight w:val="none"/>
              </w:rPr>
              <w:t>飞行器制造工程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082003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无人机制造与应用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工程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航空航天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  <w:highlight w:val="none"/>
              </w:rPr>
              <w:t>飞行器动力工程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082004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航空机械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维修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工程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航空航天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Cs w:val="21"/>
                <w:highlight w:val="none"/>
              </w:rPr>
              <w:t>飞行器控制与信息工程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082008T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航空电子维修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工程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艺术学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戏剧与影视学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宋体" w:hAnsi="宋体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表演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130301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宋体" w:hAnsi="宋体" w:eastAsia="宋体" w:cs="Arial Unicode MS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空中乘务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 Unicode MS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</w:rPr>
              <w:t>201</w:t>
            </w:r>
            <w:r>
              <w:rPr>
                <w:rFonts w:hint="eastAsia" w:ascii="宋体" w:hAnsi="宋体" w:cs="Arial Unicode MS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ZmY0N2VlMzM0YTYyMTIwYjRmMzcwNGY2NWE5MzYifQ=="/>
  </w:docVars>
  <w:rsids>
    <w:rsidRoot w:val="3D671894"/>
    <w:rsid w:val="3D6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2023-10-11T07:35:00Z</dcterms:created>
  <dc:creator>新生1384409944</dc:creator>
  <cp:lastModifiedBy>新生1384409944</cp:lastModifiedBy>
  <dcterms:modified xsi:type="dcterms:W3CDTF">2023-10-11T07:39:51Z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38205CA6A499431085E4D01CEA8A05FB_11</vt:lpwstr>
  </property>
</Properties>
</file>